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101</w:t>
      </w:r>
      <w:r>
        <w:rPr>
          <w:rFonts w:ascii="Arial" w:hAnsi="Arial" w:eastAsia="宋体" w:cs="Arial"/>
          <w:b/>
          <w:color w:val="auto"/>
          <w:sz w:val="24"/>
          <w:lang w:eastAsia="zh-CN"/>
        </w:rPr>
        <w:t>-e</w:t>
      </w:r>
      <w:r>
        <w:rPr>
          <w:rFonts w:hint="eastAsia" w:ascii="Arial" w:hAnsi="Arial" w:eastAsia="宋体" w:cs="Arial"/>
          <w:b/>
          <w:color w:val="auto"/>
          <w:sz w:val="24"/>
          <w:lang w:val="en-US" w:eastAsia="zh-CN"/>
        </w:rPr>
        <w:t xml:space="preserve"> bis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R4-2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201415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ascii="Arial" w:hAnsi="Arial" w:eastAsia="宋体"/>
          <w:b/>
          <w:color w:val="auto"/>
          <w:sz w:val="24"/>
          <w:lang w:eastAsia="zh-CN"/>
        </w:rPr>
        <w:t xml:space="preserve">Electronic Meeting, 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17</w:t>
      </w:r>
      <w:r>
        <w:rPr>
          <w:rFonts w:hint="eastAsia" w:ascii="Arial" w:hAnsi="Arial" w:eastAsia="宋体"/>
          <w:b/>
          <w:color w:val="auto"/>
          <w:sz w:val="24"/>
          <w:vertAlign w:val="superscript"/>
          <w:lang w:val="en-US" w:eastAsia="zh-CN"/>
        </w:rPr>
        <w:t>st</w:t>
      </w:r>
      <w:r>
        <w:rPr>
          <w:rFonts w:ascii="Arial" w:hAnsi="Arial" w:eastAsia="宋体"/>
          <w:b/>
          <w:color w:val="auto"/>
          <w:sz w:val="24"/>
          <w:lang w:eastAsia="zh-CN"/>
        </w:rPr>
        <w:t xml:space="preserve"> - 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22</w:t>
      </w:r>
      <w:r>
        <w:rPr>
          <w:rFonts w:ascii="Arial" w:hAnsi="Arial" w:eastAsia="宋体"/>
          <w:b/>
          <w:color w:val="auto"/>
          <w:sz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color w:val="auto"/>
          <w:sz w:val="24"/>
          <w:lang w:eastAsia="zh-CN"/>
        </w:rPr>
        <w:t xml:space="preserve"> 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Jan</w:t>
      </w:r>
      <w:r>
        <w:rPr>
          <w:rFonts w:ascii="Arial" w:hAnsi="Arial" w:eastAsia="宋体"/>
          <w:b/>
          <w:color w:val="auto"/>
          <w:sz w:val="24"/>
          <w:lang w:eastAsia="zh-CN"/>
        </w:rPr>
        <w:t>, 202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2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</w:p>
    <w:p>
      <w:pPr>
        <w:pStyle w:val="13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/>
          <w:color w:val="auto"/>
          <w:sz w:val="24"/>
          <w:lang w:val="en-US"/>
        </w:rPr>
      </w:pPr>
      <w:r>
        <w:rPr>
          <w:color w:val="auto"/>
          <w:sz w:val="24"/>
        </w:rPr>
        <w:t>Agenda Item: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6.12.2.3.</w:t>
      </w:r>
      <w:bookmarkStart w:id="6" w:name="_GoBack"/>
      <w:bookmarkEnd w:id="6"/>
      <w:r>
        <w:rPr>
          <w:rFonts w:hint="eastAsia" w:eastAsia="宋体"/>
          <w:color w:val="auto"/>
          <w:sz w:val="24"/>
          <w:lang w:val="en-US" w:eastAsia="zh-CN"/>
        </w:rPr>
        <w:t>1</w:t>
      </w:r>
    </w:p>
    <w:p>
      <w:pPr>
        <w:pStyle w:val="13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Source:</w:t>
      </w:r>
      <w:r>
        <w:rPr>
          <w:color w:val="auto"/>
          <w:sz w:val="24"/>
        </w:rPr>
        <w:tab/>
      </w:r>
      <w:r>
        <w:rPr>
          <w:rFonts w:eastAsia="宋体"/>
          <w:color w:val="auto"/>
          <w:sz w:val="24"/>
          <w:lang w:val="en-US" w:eastAsia="zh-CN"/>
        </w:rPr>
        <w:t>ZTE Corporation</w:t>
      </w:r>
    </w:p>
    <w:p>
      <w:pPr>
        <w:pStyle w:val="13"/>
        <w:tabs>
          <w:tab w:val="left" w:pos="1800"/>
          <w:tab w:val="clear" w:pos="4536"/>
        </w:tabs>
        <w:spacing w:after="60"/>
        <w:ind w:left="1807" w:hanging="1801" w:hangingChars="750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Title: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ja-JP"/>
        </w:rPr>
        <w:t>Simulation results on CRS-IM receiver</w:t>
      </w:r>
    </w:p>
    <w:p>
      <w:pPr>
        <w:pStyle w:val="13"/>
        <w:tabs>
          <w:tab w:val="left" w:pos="1800"/>
        </w:tabs>
        <w:snapToGrid w:val="0"/>
        <w:spacing w:after="24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Document for:</w:t>
      </w:r>
      <w:r>
        <w:rPr>
          <w:color w:val="auto"/>
          <w:sz w:val="24"/>
        </w:rPr>
        <w:tab/>
      </w:r>
      <w:r>
        <w:rPr>
          <w:rFonts w:eastAsia="宋体"/>
          <w:color w:val="auto"/>
          <w:sz w:val="24"/>
          <w:lang w:val="en-US" w:eastAsia="zh-CN"/>
        </w:rPr>
        <w:t>Discussion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Introduction</w:t>
      </w:r>
    </w:p>
    <w:p>
      <w:pPr>
        <w:pStyle w:val="3"/>
        <w:numPr>
          <w:ilvl w:val="0"/>
          <w:numId w:val="0"/>
        </w:numPr>
        <w:tabs>
          <w:tab w:val="left" w:pos="226"/>
          <w:tab w:val="left" w:pos="284"/>
          <w:tab w:val="left" w:pos="5103"/>
        </w:tabs>
        <w:snapToGrid w:val="0"/>
        <w:spacing w:before="156" w:beforeLines="50"/>
        <w:ind w:leftChars="0"/>
        <w:rPr>
          <w:rFonts w:hint="eastAsia" w:eastAsia="宋体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>LLR weighting was agreed in RAN4 as baseline assumption for CRS-IM receiver in scenario 1 and scenario 2 with overlapping spectrum for LTE and NR[1].</w:t>
      </w:r>
    </w:p>
    <w:p>
      <w:pPr>
        <w:pStyle w:val="3"/>
        <w:numPr>
          <w:ilvl w:val="0"/>
          <w:numId w:val="0"/>
        </w:numPr>
        <w:tabs>
          <w:tab w:val="left" w:pos="226"/>
          <w:tab w:val="left" w:pos="284"/>
          <w:tab w:val="left" w:pos="5103"/>
        </w:tabs>
        <w:snapToGrid w:val="0"/>
        <w:spacing w:before="156" w:beforeLines="50"/>
        <w:ind w:leftChars="0"/>
        <w:rPr>
          <w:rFonts w:hint="default" w:eastAsia="宋体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 xml:space="preserve">In this paper, </w:t>
      </w:r>
      <w:r>
        <w:rPr>
          <w:rFonts w:hint="default" w:eastAsia="宋体"/>
          <w:color w:val="auto"/>
          <w:sz w:val="21"/>
          <w:szCs w:val="21"/>
          <w:lang w:val="en-US" w:eastAsia="zh-CN"/>
        </w:rPr>
        <w:t>we provide our simulation results as follow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>ing for both scenario 1 and scenario 2.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Simulation results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 xml:space="preserve">Simulation results for scenario 1 are shown in Figure </w:t>
      </w:r>
      <w:r>
        <w:rPr>
          <w:rFonts w:hint="eastAsia"/>
          <w:lang w:val="en-US" w:eastAsia="zh-CN"/>
        </w:rPr>
        <w:t>1.</w:t>
      </w:r>
    </w:p>
    <w:p>
      <w:pPr>
        <w:pStyle w:val="3"/>
      </w:pPr>
      <w:r>
        <w:drawing>
          <wp:inline distT="0" distB="0" distL="114300" distR="114300">
            <wp:extent cx="2902585" cy="217805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02585" cy="217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914650" cy="2186940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18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default"/>
          <w:lang w:val="en-US" w:eastAsia="zh-CN"/>
        </w:rPr>
      </w:pPr>
      <w:r>
        <w:drawing>
          <wp:inline distT="0" distB="0" distL="114300" distR="114300">
            <wp:extent cx="2862580" cy="21621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6258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902585" cy="217741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02585" cy="217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1. Simulation results for scenario 1</w:t>
      </w:r>
    </w:p>
    <w:p>
      <w:pPr>
        <w:numPr>
          <w:ilvl w:val="0"/>
          <w:numId w:val="0"/>
        </w:numPr>
        <w:jc w:val="center"/>
        <w:rPr>
          <w:rFonts w:hint="eastAsia" w:eastAsia="宋体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 xml:space="preserve">Simulation results for scenario 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 xml:space="preserve"> are shown in Figure </w:t>
      </w:r>
      <w:r>
        <w:rPr>
          <w:rFonts w:hint="eastAsia"/>
          <w:lang w:val="en-US" w:eastAsia="zh-CN"/>
        </w:rPr>
        <w:t>2.</w:t>
      </w:r>
    </w:p>
    <w:p>
      <w:pPr>
        <w:pStyle w:val="3"/>
      </w:pPr>
      <w:r>
        <w:drawing>
          <wp:inline distT="0" distB="0" distL="114300" distR="114300">
            <wp:extent cx="2899410" cy="2263775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9410" cy="226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980055" cy="2251075"/>
            <wp:effectExtent l="0" t="0" r="0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80055" cy="225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int="default"/>
          <w:lang w:val="en-US" w:eastAsia="zh-CN"/>
        </w:rPr>
      </w:pPr>
      <w:r>
        <w:drawing>
          <wp:inline distT="0" distB="0" distL="114300" distR="114300">
            <wp:extent cx="2802890" cy="2232025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02890" cy="223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969895" cy="2260600"/>
            <wp:effectExtent l="0" t="0" r="0" b="0"/>
            <wp:docPr id="1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69895" cy="226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2. Simulation results for scenario 2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The simulation results for CRS-IM are summarized in the following Table 1.</w:t>
      </w:r>
    </w:p>
    <w:p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</w:t>
      </w:r>
      <w:r>
        <w:rPr>
          <w:rFonts w:hint="eastAsia" w:eastAsiaTheme="minorEastAsia"/>
          <w:b/>
          <w:lang w:val="en-US" w:eastAsia="zh-CN"/>
        </w:rPr>
        <w:t>1</w:t>
      </w:r>
      <w:r>
        <w:rPr>
          <w:rFonts w:eastAsiaTheme="minorEastAsia"/>
          <w:b/>
          <w:lang w:eastAsia="zh-CN"/>
        </w:rPr>
        <w:t>: Summary of CRS-IM simulation results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2789"/>
        <w:gridCol w:w="697"/>
        <w:gridCol w:w="721"/>
        <w:gridCol w:w="709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1" w:type="dxa"/>
            <w:gridSpan w:val="2"/>
            <w:vMerge w:val="restart"/>
          </w:tcPr>
          <w:p>
            <w:pPr>
              <w:spacing w:after="0"/>
              <w:jc w:val="center"/>
              <w:rPr>
                <w:rFonts w:eastAsiaTheme="minorEastAsia"/>
                <w:b/>
                <w:i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Target SNR(dB)</w:t>
            </w:r>
          </w:p>
        </w:tc>
        <w:tc>
          <w:tcPr>
            <w:tcW w:w="1418" w:type="dxa"/>
            <w:gridSpan w:val="2"/>
          </w:tcPr>
          <w:p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hint="eastAsia" w:eastAsiaTheme="minorEastAsia"/>
                <w:sz w:val="18"/>
                <w:lang w:eastAsia="zh-CN"/>
              </w:rPr>
              <w:t>M</w:t>
            </w:r>
            <w:r>
              <w:rPr>
                <w:rFonts w:eastAsiaTheme="minorEastAsia"/>
                <w:sz w:val="18"/>
                <w:lang w:eastAsia="zh-CN"/>
              </w:rPr>
              <w:t>CS 4</w:t>
            </w:r>
          </w:p>
        </w:tc>
        <w:tc>
          <w:tcPr>
            <w:tcW w:w="1417" w:type="dxa"/>
            <w:gridSpan w:val="2"/>
          </w:tcPr>
          <w:p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hint="eastAsia" w:eastAsiaTheme="minorEastAsia"/>
                <w:sz w:val="18"/>
                <w:lang w:eastAsia="zh-CN"/>
              </w:rPr>
              <w:t>M</w:t>
            </w:r>
            <w:r>
              <w:rPr>
                <w:rFonts w:eastAsiaTheme="minorEastAsia"/>
                <w:sz w:val="18"/>
                <w:lang w:eastAsia="zh-CN"/>
              </w:rPr>
              <w:t>CS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1" w:type="dxa"/>
            <w:gridSpan w:val="2"/>
            <w:vMerge w:val="continue"/>
          </w:tcPr>
          <w:p>
            <w:pPr>
              <w:spacing w:after="0"/>
              <w:rPr>
                <w:rFonts w:eastAsiaTheme="minorEastAsia"/>
                <w:b/>
                <w:i/>
                <w:sz w:val="18"/>
                <w:lang w:eastAsia="zh-CN"/>
              </w:rPr>
            </w:pPr>
            <w:bookmarkStart w:id="0" w:name="_Hlk83713675"/>
          </w:p>
        </w:tc>
        <w:tc>
          <w:tcPr>
            <w:tcW w:w="697" w:type="dxa"/>
          </w:tcPr>
          <w:p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4T2R</w:t>
            </w:r>
          </w:p>
        </w:tc>
        <w:tc>
          <w:tcPr>
            <w:tcW w:w="721" w:type="dxa"/>
          </w:tcPr>
          <w:p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4T4R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4T2R</w:t>
            </w:r>
          </w:p>
        </w:tc>
        <w:tc>
          <w:tcPr>
            <w:tcW w:w="708" w:type="dxa"/>
          </w:tcPr>
          <w:p>
            <w:pPr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4T4R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2" w:type="dxa"/>
            <w:vMerge w:val="restart"/>
          </w:tcPr>
          <w:p>
            <w:pPr>
              <w:spacing w:after="0"/>
              <w:jc w:val="center"/>
              <w:rPr>
                <w:rFonts w:eastAsiaTheme="minorEastAsia"/>
                <w:b/>
                <w:i/>
                <w:sz w:val="18"/>
                <w:lang w:eastAsia="zh-CN"/>
              </w:rPr>
            </w:pPr>
            <w:bookmarkStart w:id="1" w:name="OLE_LINK117"/>
            <w:bookmarkStart w:id="2" w:name="_Hlk83713909"/>
            <w:r>
              <w:rPr>
                <w:rFonts w:hint="eastAsia" w:eastAsiaTheme="minorEastAsia"/>
                <w:sz w:val="18"/>
                <w:lang w:eastAsia="zh-CN"/>
              </w:rPr>
              <w:t>S</w:t>
            </w:r>
            <w:r>
              <w:rPr>
                <w:rFonts w:eastAsiaTheme="minorEastAsia"/>
                <w:sz w:val="18"/>
                <w:lang w:eastAsia="zh-CN"/>
              </w:rPr>
              <w:t>cenario 1</w:t>
            </w:r>
            <w:bookmarkEnd w:id="1"/>
          </w:p>
        </w:tc>
        <w:tc>
          <w:tcPr>
            <w:tcW w:w="2789" w:type="dxa"/>
          </w:tcPr>
          <w:p>
            <w:pPr>
              <w:spacing w:after="0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Ref</w:t>
            </w:r>
          </w:p>
        </w:tc>
        <w:tc>
          <w:tcPr>
            <w:tcW w:w="697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2.2</w:t>
            </w:r>
          </w:p>
        </w:tc>
        <w:tc>
          <w:tcPr>
            <w:tcW w:w="721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-1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10.7</w:t>
            </w:r>
          </w:p>
        </w:tc>
        <w:tc>
          <w:tcPr>
            <w:tcW w:w="708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6.8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2" w:type="dxa"/>
            <w:vMerge w:val="continue"/>
          </w:tcPr>
          <w:p>
            <w:pPr>
              <w:spacing w:after="0"/>
              <w:jc w:val="center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2789" w:type="dxa"/>
          </w:tcPr>
          <w:p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>
              <w:rPr>
                <w:rFonts w:hint="eastAsia" w:eastAsiaTheme="minorEastAsia"/>
                <w:sz w:val="18"/>
                <w:lang w:eastAsia="zh-CN"/>
              </w:rPr>
              <w:t>L</w:t>
            </w:r>
            <w:r>
              <w:rPr>
                <w:rFonts w:eastAsiaTheme="minorEastAsia"/>
                <w:sz w:val="18"/>
                <w:lang w:eastAsia="zh-CN"/>
              </w:rPr>
              <w:t>LR weighting</w:t>
            </w:r>
          </w:p>
        </w:tc>
        <w:tc>
          <w:tcPr>
            <w:tcW w:w="697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0.1</w:t>
            </w:r>
          </w:p>
        </w:tc>
        <w:tc>
          <w:tcPr>
            <w:tcW w:w="721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-2.9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9.3</w:t>
            </w:r>
          </w:p>
        </w:tc>
        <w:tc>
          <w:tcPr>
            <w:tcW w:w="708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5.2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  <w:jc w:val="center"/>
        </w:trPr>
        <w:tc>
          <w:tcPr>
            <w:tcW w:w="1742" w:type="dxa"/>
            <w:vMerge w:val="continue"/>
          </w:tcPr>
          <w:p>
            <w:pPr>
              <w:spacing w:after="0"/>
              <w:jc w:val="center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2789" w:type="dxa"/>
          </w:tcPr>
          <w:p>
            <w:pPr>
              <w:spacing w:after="0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 xml:space="preserve">Gain of LLR weighting vs </w:t>
            </w:r>
            <w:r>
              <w:rPr>
                <w:rFonts w:hint="eastAsia" w:eastAsiaTheme="minorEastAsia"/>
                <w:sz w:val="18"/>
                <w:lang w:val="en-US" w:eastAsia="zh-CN"/>
              </w:rPr>
              <w:t>Ref</w:t>
            </w:r>
          </w:p>
        </w:tc>
        <w:tc>
          <w:tcPr>
            <w:tcW w:w="697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2.1</w:t>
            </w:r>
          </w:p>
        </w:tc>
        <w:tc>
          <w:tcPr>
            <w:tcW w:w="721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1.9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1.4</w:t>
            </w:r>
          </w:p>
        </w:tc>
        <w:tc>
          <w:tcPr>
            <w:tcW w:w="708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1.6</w:t>
            </w:r>
          </w:p>
        </w:tc>
      </w:tr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2" w:type="dxa"/>
            <w:vMerge w:val="restart"/>
          </w:tcPr>
          <w:p>
            <w:pPr>
              <w:spacing w:after="0"/>
              <w:jc w:val="center"/>
              <w:rPr>
                <w:rFonts w:eastAsiaTheme="minorEastAsia"/>
                <w:b/>
                <w:i/>
                <w:sz w:val="18"/>
                <w:lang w:eastAsia="zh-CN"/>
              </w:rPr>
            </w:pPr>
            <w:r>
              <w:rPr>
                <w:rFonts w:hint="eastAsia" w:eastAsiaTheme="minorEastAsia"/>
                <w:sz w:val="18"/>
                <w:lang w:eastAsia="zh-CN"/>
              </w:rPr>
              <w:t>S</w:t>
            </w:r>
            <w:r>
              <w:rPr>
                <w:rFonts w:eastAsiaTheme="minorEastAsia"/>
                <w:sz w:val="18"/>
                <w:lang w:eastAsia="zh-CN"/>
              </w:rPr>
              <w:t>cenario 2</w:t>
            </w:r>
          </w:p>
        </w:tc>
        <w:tc>
          <w:tcPr>
            <w:tcW w:w="2789" w:type="dxa"/>
          </w:tcPr>
          <w:p>
            <w:pPr>
              <w:spacing w:after="0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Ref</w:t>
            </w:r>
          </w:p>
        </w:tc>
        <w:tc>
          <w:tcPr>
            <w:tcW w:w="697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2.2</w:t>
            </w:r>
          </w:p>
        </w:tc>
        <w:tc>
          <w:tcPr>
            <w:tcW w:w="721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-0.8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12.2</w:t>
            </w:r>
          </w:p>
        </w:tc>
        <w:tc>
          <w:tcPr>
            <w:tcW w:w="708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8.3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2" w:type="dxa"/>
            <w:vMerge w:val="continue"/>
          </w:tcPr>
          <w:p>
            <w:pPr>
              <w:spacing w:after="0"/>
              <w:rPr>
                <w:rFonts w:eastAsiaTheme="minorEastAsia"/>
                <w:b/>
                <w:i/>
                <w:sz w:val="18"/>
                <w:lang w:eastAsia="zh-CN"/>
              </w:rPr>
            </w:pPr>
            <w:bookmarkStart w:id="3" w:name="_Hlk83717788"/>
          </w:p>
        </w:tc>
        <w:tc>
          <w:tcPr>
            <w:tcW w:w="2789" w:type="dxa"/>
          </w:tcPr>
          <w:p>
            <w:pPr>
              <w:spacing w:after="0"/>
              <w:rPr>
                <w:rFonts w:eastAsiaTheme="minorEastAsia"/>
                <w:sz w:val="18"/>
                <w:lang w:eastAsia="zh-CN"/>
              </w:rPr>
            </w:pPr>
            <w:r>
              <w:rPr>
                <w:rFonts w:hint="eastAsia" w:eastAsiaTheme="minorEastAsia"/>
                <w:sz w:val="18"/>
                <w:lang w:eastAsia="zh-CN"/>
              </w:rPr>
              <w:t>L</w:t>
            </w:r>
            <w:r>
              <w:rPr>
                <w:rFonts w:eastAsiaTheme="minorEastAsia"/>
                <w:sz w:val="18"/>
                <w:lang w:eastAsia="zh-CN"/>
              </w:rPr>
              <w:t>LR weighting</w:t>
            </w:r>
          </w:p>
        </w:tc>
        <w:tc>
          <w:tcPr>
            <w:tcW w:w="697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0.8</w:t>
            </w:r>
          </w:p>
        </w:tc>
        <w:tc>
          <w:tcPr>
            <w:tcW w:w="721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-2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10.1</w:t>
            </w:r>
          </w:p>
        </w:tc>
        <w:tc>
          <w:tcPr>
            <w:tcW w:w="708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6.2</w:t>
            </w:r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2" w:type="dxa"/>
            <w:vMerge w:val="continue"/>
          </w:tcPr>
          <w:p>
            <w:pPr>
              <w:spacing w:after="0"/>
              <w:rPr>
                <w:rFonts w:eastAsiaTheme="minorEastAsia"/>
                <w:b/>
                <w:i/>
                <w:lang w:eastAsia="zh-CN"/>
              </w:rPr>
            </w:pPr>
            <w:bookmarkStart w:id="4" w:name="_Hlk83715379"/>
          </w:p>
        </w:tc>
        <w:tc>
          <w:tcPr>
            <w:tcW w:w="2789" w:type="dxa"/>
          </w:tcPr>
          <w:p>
            <w:pPr>
              <w:spacing w:after="0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 xml:space="preserve">Gain of LLR weighting vs </w:t>
            </w:r>
            <w:r>
              <w:rPr>
                <w:rFonts w:hint="eastAsia" w:eastAsiaTheme="minorEastAsia"/>
                <w:sz w:val="18"/>
                <w:lang w:val="en-US" w:eastAsia="zh-CN"/>
              </w:rPr>
              <w:t>Ref</w:t>
            </w:r>
          </w:p>
        </w:tc>
        <w:tc>
          <w:tcPr>
            <w:tcW w:w="697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1.4</w:t>
            </w:r>
          </w:p>
        </w:tc>
        <w:tc>
          <w:tcPr>
            <w:tcW w:w="721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1.2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2.1</w:t>
            </w:r>
          </w:p>
        </w:tc>
        <w:tc>
          <w:tcPr>
            <w:tcW w:w="708" w:type="dxa"/>
          </w:tcPr>
          <w:p>
            <w:pPr>
              <w:spacing w:after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lang w:val="en-US" w:eastAsia="zh-CN"/>
              </w:rPr>
              <w:t>2.1</w:t>
            </w:r>
          </w:p>
        </w:tc>
      </w:tr>
      <w:bookmarkEnd w:id="4"/>
    </w:tbl>
    <w:p>
      <w:pPr>
        <w:numPr>
          <w:ilvl w:val="0"/>
          <w:numId w:val="0"/>
        </w:numPr>
        <w:jc w:val="both"/>
        <w:rPr>
          <w:rFonts w:hint="default" w:eastAsia="宋体"/>
          <w:lang w:val="en-US" w:eastAsia="zh-CN"/>
        </w:rPr>
      </w:pP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eastAsia="宋体"/>
          <w:color w:val="auto"/>
          <w:lang w:val="en-US" w:eastAsia="zh-CN"/>
        </w:rPr>
        <w:t>Conclusion</w:t>
      </w:r>
    </w:p>
    <w:p>
      <w:pPr>
        <w:numPr>
          <w:ilvl w:val="0"/>
          <w:numId w:val="0"/>
        </w:numPr>
        <w:rPr>
          <w:rFonts w:hint="default" w:eastAsia="宋体"/>
          <w:bCs/>
          <w:color w:val="auto"/>
          <w:sz w:val="21"/>
          <w:szCs w:val="21"/>
          <w:lang w:val="en-US" w:eastAsia="zh-CN"/>
        </w:rPr>
      </w:pPr>
      <w:r>
        <w:rPr>
          <w:rFonts w:eastAsia="宋体"/>
          <w:bCs/>
          <w:color w:val="auto"/>
          <w:sz w:val="21"/>
          <w:szCs w:val="21"/>
          <w:lang w:val="en-GB" w:eastAsia="zh-CN"/>
        </w:rPr>
        <w:t xml:space="preserve">In this 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>contribution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 xml:space="preserve">, we 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>provide our simulation results for CRS-IM receiver.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Reference</w:t>
      </w:r>
    </w:p>
    <w:p>
      <w:pPr>
        <w:widowControl w:val="0"/>
        <w:numPr>
          <w:ilvl w:val="0"/>
          <w:numId w:val="4"/>
        </w:numPr>
        <w:jc w:val="both"/>
        <w:rPr>
          <w:lang w:val="en-US"/>
        </w:rPr>
      </w:pPr>
      <w:bookmarkStart w:id="5" w:name="_Ref85472737"/>
      <w:r>
        <w:rPr>
          <w:lang w:val="en-US"/>
        </w:rPr>
        <w:t>RP-212636 “Revised WID: Further enhancement on NR demodulation performance”, China Telecom, RAN #93e, September 2021.</w:t>
      </w:r>
      <w:bookmarkEnd w:id="5"/>
    </w:p>
    <w:p>
      <w:pPr>
        <w:pStyle w:val="8"/>
        <w:numPr>
          <w:ilvl w:val="0"/>
          <w:numId w:val="0"/>
        </w:numPr>
        <w:ind w:leftChars="0"/>
        <w:rPr>
          <w:color w:val="auto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F250011"/>
    <w:multiLevelType w:val="multilevel"/>
    <w:tmpl w:val="1F250011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1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8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35B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75FAB"/>
    <w:rsid w:val="013C2683"/>
    <w:rsid w:val="024C4C49"/>
    <w:rsid w:val="027D7CE1"/>
    <w:rsid w:val="0405471F"/>
    <w:rsid w:val="043127FB"/>
    <w:rsid w:val="045D5DCE"/>
    <w:rsid w:val="04CB5F39"/>
    <w:rsid w:val="05200480"/>
    <w:rsid w:val="05AB7D3F"/>
    <w:rsid w:val="05AD2D90"/>
    <w:rsid w:val="06AA1695"/>
    <w:rsid w:val="07515964"/>
    <w:rsid w:val="07B02480"/>
    <w:rsid w:val="07B45E2C"/>
    <w:rsid w:val="07CD3CDD"/>
    <w:rsid w:val="0CA441B6"/>
    <w:rsid w:val="0CC1076F"/>
    <w:rsid w:val="0CF9211F"/>
    <w:rsid w:val="0DFD395C"/>
    <w:rsid w:val="0F4B67EF"/>
    <w:rsid w:val="0F5E2230"/>
    <w:rsid w:val="103929F9"/>
    <w:rsid w:val="10845506"/>
    <w:rsid w:val="10A42F54"/>
    <w:rsid w:val="10DA5664"/>
    <w:rsid w:val="11130066"/>
    <w:rsid w:val="1129374C"/>
    <w:rsid w:val="118A1291"/>
    <w:rsid w:val="12120F9A"/>
    <w:rsid w:val="127A25AE"/>
    <w:rsid w:val="12CB53F3"/>
    <w:rsid w:val="13060AA5"/>
    <w:rsid w:val="147C2289"/>
    <w:rsid w:val="14A736FE"/>
    <w:rsid w:val="16133E3F"/>
    <w:rsid w:val="16E7731D"/>
    <w:rsid w:val="17381DDB"/>
    <w:rsid w:val="17542C92"/>
    <w:rsid w:val="18AA5B3E"/>
    <w:rsid w:val="18E775F6"/>
    <w:rsid w:val="194122C5"/>
    <w:rsid w:val="19E55B24"/>
    <w:rsid w:val="1B5A5199"/>
    <w:rsid w:val="1BD31CD2"/>
    <w:rsid w:val="1C7F7D65"/>
    <w:rsid w:val="1EA14CD7"/>
    <w:rsid w:val="1EA829C6"/>
    <w:rsid w:val="1F5C7CDA"/>
    <w:rsid w:val="1F7733F8"/>
    <w:rsid w:val="1F9C7116"/>
    <w:rsid w:val="1FA0225A"/>
    <w:rsid w:val="1FEC7AB6"/>
    <w:rsid w:val="200F0551"/>
    <w:rsid w:val="205076B4"/>
    <w:rsid w:val="2082712A"/>
    <w:rsid w:val="20AA5D90"/>
    <w:rsid w:val="20BC2B52"/>
    <w:rsid w:val="21735CB6"/>
    <w:rsid w:val="21B11B74"/>
    <w:rsid w:val="21E56981"/>
    <w:rsid w:val="21F06EE9"/>
    <w:rsid w:val="222E632E"/>
    <w:rsid w:val="223D108B"/>
    <w:rsid w:val="231F3A56"/>
    <w:rsid w:val="24715F69"/>
    <w:rsid w:val="263D51AB"/>
    <w:rsid w:val="275349A0"/>
    <w:rsid w:val="28576890"/>
    <w:rsid w:val="28807F98"/>
    <w:rsid w:val="290D55CB"/>
    <w:rsid w:val="2A3C791B"/>
    <w:rsid w:val="2A5C44AE"/>
    <w:rsid w:val="2B034D47"/>
    <w:rsid w:val="2B6B5DA0"/>
    <w:rsid w:val="2CC92235"/>
    <w:rsid w:val="2CE43124"/>
    <w:rsid w:val="2D8824A9"/>
    <w:rsid w:val="2DBD3842"/>
    <w:rsid w:val="2DBD3CB8"/>
    <w:rsid w:val="2DEE03C6"/>
    <w:rsid w:val="2E1176AC"/>
    <w:rsid w:val="2ECB7AE0"/>
    <w:rsid w:val="2EFE4D91"/>
    <w:rsid w:val="2F196F3B"/>
    <w:rsid w:val="2F6A7113"/>
    <w:rsid w:val="30590D0E"/>
    <w:rsid w:val="30C973EB"/>
    <w:rsid w:val="329F5BF0"/>
    <w:rsid w:val="33672BF5"/>
    <w:rsid w:val="39897BAC"/>
    <w:rsid w:val="3B3C0DE4"/>
    <w:rsid w:val="3BE52FCA"/>
    <w:rsid w:val="3BEE2238"/>
    <w:rsid w:val="3C4E1516"/>
    <w:rsid w:val="3D0D4822"/>
    <w:rsid w:val="3D0F477C"/>
    <w:rsid w:val="3D42461D"/>
    <w:rsid w:val="3D5035C7"/>
    <w:rsid w:val="3D6F2596"/>
    <w:rsid w:val="3D8D64D6"/>
    <w:rsid w:val="3E5A7593"/>
    <w:rsid w:val="3F526555"/>
    <w:rsid w:val="3FD47C20"/>
    <w:rsid w:val="3FF32B7B"/>
    <w:rsid w:val="404F2C0F"/>
    <w:rsid w:val="404F7A6B"/>
    <w:rsid w:val="4057705B"/>
    <w:rsid w:val="40774476"/>
    <w:rsid w:val="40C765F3"/>
    <w:rsid w:val="40CC463F"/>
    <w:rsid w:val="42CE6A0F"/>
    <w:rsid w:val="42E26F89"/>
    <w:rsid w:val="433D5908"/>
    <w:rsid w:val="43C320E4"/>
    <w:rsid w:val="43F55E75"/>
    <w:rsid w:val="443B5C9E"/>
    <w:rsid w:val="44FD6853"/>
    <w:rsid w:val="455509E4"/>
    <w:rsid w:val="45AD6960"/>
    <w:rsid w:val="45F60A50"/>
    <w:rsid w:val="46157ABD"/>
    <w:rsid w:val="46280997"/>
    <w:rsid w:val="46C62809"/>
    <w:rsid w:val="477801EF"/>
    <w:rsid w:val="47DB43C5"/>
    <w:rsid w:val="48E621D2"/>
    <w:rsid w:val="4B72245E"/>
    <w:rsid w:val="4CC53F61"/>
    <w:rsid w:val="4D513299"/>
    <w:rsid w:val="4D9B1B6B"/>
    <w:rsid w:val="4E6F0AEA"/>
    <w:rsid w:val="4E962F66"/>
    <w:rsid w:val="4EA56C23"/>
    <w:rsid w:val="4F0B3630"/>
    <w:rsid w:val="4F9305DC"/>
    <w:rsid w:val="4FBD6EC5"/>
    <w:rsid w:val="50DE3F26"/>
    <w:rsid w:val="514C45A8"/>
    <w:rsid w:val="51B14BED"/>
    <w:rsid w:val="51CF00E7"/>
    <w:rsid w:val="52F664E7"/>
    <w:rsid w:val="52FE4FB2"/>
    <w:rsid w:val="53CD6942"/>
    <w:rsid w:val="54175BE1"/>
    <w:rsid w:val="544A23E1"/>
    <w:rsid w:val="560E743D"/>
    <w:rsid w:val="564B25D4"/>
    <w:rsid w:val="566165B2"/>
    <w:rsid w:val="56D06899"/>
    <w:rsid w:val="578511BD"/>
    <w:rsid w:val="589D1473"/>
    <w:rsid w:val="58CB4ECF"/>
    <w:rsid w:val="58E11E6E"/>
    <w:rsid w:val="59055722"/>
    <w:rsid w:val="590733E0"/>
    <w:rsid w:val="59813B79"/>
    <w:rsid w:val="59E05DA7"/>
    <w:rsid w:val="5A151B9F"/>
    <w:rsid w:val="5A26004C"/>
    <w:rsid w:val="5A66146E"/>
    <w:rsid w:val="5B010A05"/>
    <w:rsid w:val="5B374ACD"/>
    <w:rsid w:val="5BAC2E0B"/>
    <w:rsid w:val="5C2B681A"/>
    <w:rsid w:val="5C73239E"/>
    <w:rsid w:val="5C9A012D"/>
    <w:rsid w:val="5D103461"/>
    <w:rsid w:val="5D6B2982"/>
    <w:rsid w:val="5D850376"/>
    <w:rsid w:val="5DA63F96"/>
    <w:rsid w:val="5DEF4E34"/>
    <w:rsid w:val="5EE53B14"/>
    <w:rsid w:val="5F2A43E8"/>
    <w:rsid w:val="5F7F3C30"/>
    <w:rsid w:val="60552863"/>
    <w:rsid w:val="6086070B"/>
    <w:rsid w:val="619B09FD"/>
    <w:rsid w:val="621D0F4F"/>
    <w:rsid w:val="6269154E"/>
    <w:rsid w:val="62CA5AE4"/>
    <w:rsid w:val="63357437"/>
    <w:rsid w:val="637958BB"/>
    <w:rsid w:val="63A42B7F"/>
    <w:rsid w:val="64FD0682"/>
    <w:rsid w:val="6544784D"/>
    <w:rsid w:val="65967ED9"/>
    <w:rsid w:val="65BB6156"/>
    <w:rsid w:val="65CD0C5C"/>
    <w:rsid w:val="65F872D3"/>
    <w:rsid w:val="663E6DEC"/>
    <w:rsid w:val="66E759DF"/>
    <w:rsid w:val="68105991"/>
    <w:rsid w:val="68797DD1"/>
    <w:rsid w:val="68A411BE"/>
    <w:rsid w:val="693E43C4"/>
    <w:rsid w:val="6A2B1A73"/>
    <w:rsid w:val="6AA602DA"/>
    <w:rsid w:val="6BD66290"/>
    <w:rsid w:val="6BE96A2C"/>
    <w:rsid w:val="6C7858D5"/>
    <w:rsid w:val="6C7C1F73"/>
    <w:rsid w:val="6CB56FFB"/>
    <w:rsid w:val="6CF36133"/>
    <w:rsid w:val="6DDE3DAF"/>
    <w:rsid w:val="6E107894"/>
    <w:rsid w:val="6F4A01A7"/>
    <w:rsid w:val="705C75FA"/>
    <w:rsid w:val="70A55C85"/>
    <w:rsid w:val="7123768D"/>
    <w:rsid w:val="715F4C2D"/>
    <w:rsid w:val="7257660F"/>
    <w:rsid w:val="726A3418"/>
    <w:rsid w:val="734F70BE"/>
    <w:rsid w:val="740C3A02"/>
    <w:rsid w:val="7445326B"/>
    <w:rsid w:val="76DB757D"/>
    <w:rsid w:val="77770209"/>
    <w:rsid w:val="77B7237F"/>
    <w:rsid w:val="77E71107"/>
    <w:rsid w:val="789B6040"/>
    <w:rsid w:val="79996986"/>
    <w:rsid w:val="79BD2210"/>
    <w:rsid w:val="7A267F63"/>
    <w:rsid w:val="7A9E1B57"/>
    <w:rsid w:val="7AB943F6"/>
    <w:rsid w:val="7B1E5378"/>
    <w:rsid w:val="7C45431D"/>
    <w:rsid w:val="7C963B24"/>
    <w:rsid w:val="7D1C165B"/>
    <w:rsid w:val="7DDD0501"/>
    <w:rsid w:val="7E2B63E7"/>
    <w:rsid w:val="7E935AFB"/>
    <w:rsid w:val="7E9465E8"/>
    <w:rsid w:val="7F7A7CA4"/>
    <w:rsid w:val="7FA91BE9"/>
    <w:rsid w:val="7FC9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0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1"/>
    <w:link w:val="21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4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2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List 2"/>
    <w:basedOn w:val="9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9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0">
    <w:name w:val="Date"/>
    <w:basedOn w:val="1"/>
    <w:next w:val="1"/>
    <w:link w:val="45"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26"/>
    <w:semiHidden/>
    <w:unhideWhenUsed/>
    <w:qFormat/>
    <w:uiPriority w:val="99"/>
    <w:rPr>
      <w:sz w:val="18"/>
      <w:szCs w:val="18"/>
      <w:lang w:val="zh-CN"/>
    </w:rPr>
  </w:style>
  <w:style w:type="paragraph" w:styleId="1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3">
    <w:name w:val="header"/>
    <w:basedOn w:val="1"/>
    <w:link w:val="23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4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page number"/>
    <w:basedOn w:val="17"/>
    <w:semiHidden/>
    <w:qFormat/>
    <w:uiPriority w:val="0"/>
  </w:style>
  <w:style w:type="character" w:styleId="19">
    <w:name w:val="Hyperlink"/>
    <w:qFormat/>
    <w:uiPriority w:val="99"/>
    <w:rPr>
      <w:color w:val="0000FF"/>
      <w:u w:val="single"/>
    </w:rPr>
  </w:style>
  <w:style w:type="character" w:customStyle="1" w:styleId="20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Heading 2 Char1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2">
    <w:name w:val="Body Text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3">
    <w:name w:val="Header Char"/>
    <w:link w:val="13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4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5">
    <w:name w:val="Footer Char"/>
    <w:link w:val="12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Balloon Text Char"/>
    <w:link w:val="11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7">
    <w:name w:val="List Paragraph"/>
    <w:basedOn w:val="1"/>
    <w:link w:val="43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8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29">
    <w:name w:val="B1"/>
    <w:basedOn w:val="9"/>
    <w:link w:val="30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0">
    <w:name w:val="B1 (文字)"/>
    <w:link w:val="2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1">
    <w:name w:val="B1 Char1"/>
    <w:qFormat/>
    <w:uiPriority w:val="0"/>
    <w:rPr>
      <w:lang w:val="en-GB" w:eastAsia="en-US"/>
    </w:rPr>
  </w:style>
  <w:style w:type="paragraph" w:customStyle="1" w:styleId="32">
    <w:name w:val="TAH"/>
    <w:basedOn w:val="33"/>
    <w:link w:val="38"/>
    <w:qFormat/>
    <w:uiPriority w:val="0"/>
    <w:rPr>
      <w:b/>
    </w:rPr>
  </w:style>
  <w:style w:type="paragraph" w:customStyle="1" w:styleId="33">
    <w:name w:val="TAC"/>
    <w:basedOn w:val="34"/>
    <w:link w:val="37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4">
    <w:name w:val="TAL"/>
    <w:basedOn w:val="1"/>
    <w:link w:val="47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5">
    <w:name w:val="TH"/>
    <w:basedOn w:val="1"/>
    <w:link w:val="36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6">
    <w:name w:val="TH Char"/>
    <w:link w:val="35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7">
    <w:name w:val="TAC Char"/>
    <w:link w:val="33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8">
    <w:name w:val="TAH Car"/>
    <w:link w:val="32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0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1">
    <w:name w:val="RAN4 proposal"/>
    <w:basedOn w:val="6"/>
    <w:next w:val="1"/>
    <w:link w:val="42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2">
    <w:name w:val="RAN4 proposal Char"/>
    <w:link w:val="41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3">
    <w:name w:val="List Paragraph Char"/>
    <w:link w:val="27"/>
    <w:qFormat/>
    <w:uiPriority w:val="34"/>
    <w:rPr>
      <w:kern w:val="2"/>
      <w:sz w:val="21"/>
      <w:szCs w:val="22"/>
    </w:rPr>
  </w:style>
  <w:style w:type="character" w:customStyle="1" w:styleId="44">
    <w:name w:val="ZGSM"/>
    <w:qFormat/>
    <w:uiPriority w:val="0"/>
  </w:style>
  <w:style w:type="character" w:customStyle="1" w:styleId="45">
    <w:name w:val="Date Char"/>
    <w:link w:val="10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7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48">
    <w:name w:val="Heading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49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0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emf"/><Relationship Id="rId8" Type="http://schemas.openxmlformats.org/officeDocument/2006/relationships/image" Target="media/image4.emf"/><Relationship Id="rId7" Type="http://schemas.openxmlformats.org/officeDocument/2006/relationships/image" Target="media/image3.emf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emf"/><Relationship Id="rId11" Type="http://schemas.openxmlformats.org/officeDocument/2006/relationships/image" Target="media/image7.emf"/><Relationship Id="rId10" Type="http://schemas.openxmlformats.org/officeDocument/2006/relationships/image" Target="media/image6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548</Words>
  <Characters>3128</Characters>
  <Lines>26</Lines>
  <Paragraphs>7</Paragraphs>
  <TotalTime>2</TotalTime>
  <ScaleCrop>false</ScaleCrop>
  <LinksUpToDate>false</LinksUpToDate>
  <CharactersWithSpaces>3669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2022-01-10T13:30:33Z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